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INVITAN A TRAMITAR TARJETÓN PARA PERSONAS CON MOVILIDAD REDUCIDA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01 de septiembre de 2024.-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el fin de garantizar el respeto a los derechos de todas y todos los benitojuarenses, y ver por los que más lo necesitan, las autoridades del gobierno de Benito Juárez informan a las personas con discapacidad, mujeres embarazadas, adultos mayores con movilidad limitada y/o comorbilidad, que pueden solicitar su “Tarjetón para personas con movilidad reducida”.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tarjetón es gratuito y personal, con diversas temporalidades: 180 días para personas con alguna discapacidad temporal o estado de gravidez y 5 años para quienes tengan discapacidad permanente y adultos mayores con movilidad limitada.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requisitos para poder sacar el tarjetón son: certificado médico no mayor a tres meses, identificación oficial, comprobante de domicilio, fotografía a color y acta de nacimiento en caso de ser menor de edad.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trámite puede realizarse en línea  a través de: tarjeton.cancun.gob.mx;  así como en las oficinas de Tránsito Municipal ubicadas en Av. Xcaret, Supermanzana 21, manzana 8, de lunes a viernes de 08:00 a 16:00 horas y los sábados de 08:00 a 13:00 horas.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Además, pueden acudir a las oficinas de la Ventanilla Única de Trámites y Servicios que se encuentra en las instalaciones del Instituto Municipal de Desarrollo Administrativo e Innovación (IMDAI), ubicada en Av. Nader, Supermanzana 2, manzana 1, lote 11, andador 3, local 1 y 2 de lunes a viernes de 09:00 a 15:00 horas.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2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976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